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职业能力等级评价</w:t>
      </w:r>
      <w:r>
        <w:rPr>
          <w:rFonts w:hint="eastAsia" w:ascii="黑体" w:hAnsi="黑体" w:eastAsia="黑体"/>
          <w:sz w:val="32"/>
          <w:szCs w:val="32"/>
          <w:lang w:eastAsia="zh-CN"/>
        </w:rPr>
        <w:t>报名汇总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4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2"/>
        <w:gridCol w:w="2835"/>
        <w:gridCol w:w="2268"/>
        <w:gridCol w:w="1291"/>
        <w:gridCol w:w="1686"/>
        <w:gridCol w:w="1276"/>
        <w:gridCol w:w="189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职业（方向）</w:t>
            </w:r>
          </w:p>
        </w:tc>
        <w:tc>
          <w:tcPr>
            <w:tcW w:w="1291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评价等级</w:t>
            </w:r>
          </w:p>
        </w:tc>
        <w:tc>
          <w:tcPr>
            <w:tcW w:w="1686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本职业工龄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6328"/>
    <w:rsid w:val="27BB6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2022-01-10T10:07:00Z</dcterms:created>
  <dc:creator>wangjie</dc:creator>
  <cp:lastModifiedBy>wangjie</cp:lastModifiedBy>
  <dcterms:modified xsi:type="dcterms:W3CDTF">2022-01-10T10:07:39Z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